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488" w:rsidRPr="00737488" w:rsidRDefault="00737488" w:rsidP="00737488">
      <w:pPr>
        <w:pStyle w:val="Sansinterligne"/>
        <w:jc w:val="center"/>
        <w:rPr>
          <w:b/>
          <w:sz w:val="20"/>
          <w:szCs w:val="20"/>
          <w:lang w:eastAsia="fr-FR"/>
        </w:rPr>
      </w:pPr>
      <w:bookmarkStart w:id="0" w:name="_GoBack"/>
      <w:bookmarkEnd w:id="0"/>
      <w:r w:rsidRPr="00737488">
        <w:rPr>
          <w:b/>
          <w:sz w:val="20"/>
          <w:szCs w:val="20"/>
          <w:lang w:eastAsia="fr-FR"/>
        </w:rPr>
        <w:t>LOI DE SIMPLIFICATION DU DROIT ET DES PROCÉDURES</w:t>
      </w:r>
    </w:p>
    <w:p w:rsidR="00737488" w:rsidRDefault="00737488" w:rsidP="00737488">
      <w:pPr>
        <w:pStyle w:val="Sansinterligne"/>
        <w:rPr>
          <w:sz w:val="20"/>
          <w:szCs w:val="20"/>
          <w:lang w:eastAsia="fr-FR"/>
        </w:rPr>
      </w:pPr>
    </w:p>
    <w:p w:rsidR="00737488" w:rsidRPr="00737488" w:rsidRDefault="00737488" w:rsidP="00737488">
      <w:pPr>
        <w:pStyle w:val="Sansinterligne"/>
        <w:jc w:val="both"/>
        <w:rPr>
          <w:sz w:val="20"/>
          <w:szCs w:val="20"/>
          <w:lang w:eastAsia="fr-FR"/>
        </w:rPr>
      </w:pPr>
      <w:r w:rsidRPr="00737488">
        <w:rPr>
          <w:sz w:val="20"/>
          <w:szCs w:val="20"/>
          <w:lang w:eastAsia="fr-FR"/>
        </w:rPr>
        <w:t>Publication au JORF n°0040 du 17 février 2015</w:t>
      </w:r>
      <w:r>
        <w:rPr>
          <w:sz w:val="20"/>
          <w:szCs w:val="20"/>
          <w:lang w:eastAsia="fr-FR"/>
        </w:rPr>
        <w:t xml:space="preserve"> - </w:t>
      </w:r>
      <w:r w:rsidRPr="00737488">
        <w:rPr>
          <w:sz w:val="20"/>
          <w:szCs w:val="20"/>
          <w:lang w:eastAsia="fr-FR"/>
        </w:rPr>
        <w:t>La loi n° 2015-177 du 16 février 2015 relative à la modernisation et à la simplification du droit et des procédures dans les domaines de la justice et des affaires intérieures a été publiée au Journal officiel du 17 février 2015. Ce texte habilite le Gouvernement à prendre, par ordonnances, des mesures de simplification dans les domaines de la justice et des affaires intérieures. L'objectif : faciliter la vie quotidienne des Français et leurs relations avec l'administration.</w:t>
      </w:r>
    </w:p>
    <w:p w:rsidR="00737488" w:rsidRPr="00737488" w:rsidRDefault="00737488" w:rsidP="00737488">
      <w:pPr>
        <w:pStyle w:val="Sansinterligne"/>
        <w:jc w:val="both"/>
        <w:rPr>
          <w:sz w:val="20"/>
          <w:szCs w:val="20"/>
          <w:lang w:eastAsia="fr-FR"/>
        </w:rPr>
      </w:pPr>
      <w:r w:rsidRPr="00737488">
        <w:rPr>
          <w:sz w:val="20"/>
          <w:szCs w:val="20"/>
          <w:lang w:eastAsia="fr-FR"/>
        </w:rPr>
        <w:t>Voici un résumé des principales dispositions de cette loi :</w:t>
      </w:r>
    </w:p>
    <w:p w:rsidR="00737488" w:rsidRPr="00737488" w:rsidRDefault="00737488" w:rsidP="00737488">
      <w:pPr>
        <w:pStyle w:val="Sansinterligne"/>
        <w:jc w:val="both"/>
        <w:rPr>
          <w:sz w:val="20"/>
          <w:szCs w:val="20"/>
          <w:lang w:eastAsia="fr-FR"/>
        </w:rPr>
      </w:pPr>
    </w:p>
    <w:p w:rsidR="00737488" w:rsidRPr="00737488" w:rsidRDefault="00737488" w:rsidP="00737488">
      <w:pPr>
        <w:pStyle w:val="Sansinterligne"/>
        <w:numPr>
          <w:ilvl w:val="0"/>
          <w:numId w:val="1"/>
        </w:numPr>
        <w:jc w:val="both"/>
        <w:rPr>
          <w:sz w:val="20"/>
          <w:szCs w:val="20"/>
          <w:lang w:eastAsia="fr-FR"/>
        </w:rPr>
      </w:pPr>
      <w:r w:rsidRPr="00737488">
        <w:rPr>
          <w:b/>
          <w:sz w:val="20"/>
          <w:szCs w:val="20"/>
          <w:lang w:eastAsia="fr-FR"/>
        </w:rPr>
        <w:t>L'allègement du contrôle du juge</w:t>
      </w:r>
      <w:r w:rsidRPr="00737488">
        <w:rPr>
          <w:sz w:val="20"/>
          <w:szCs w:val="20"/>
          <w:lang w:eastAsia="fr-FR"/>
        </w:rPr>
        <w:t xml:space="preserve"> des tutelles lorsqu’un des deux parents de l’enfant mineur est décédé ou se trouve privé de l’exercice de l’autorité parentale.</w:t>
      </w:r>
      <w:r>
        <w:rPr>
          <w:sz w:val="20"/>
          <w:szCs w:val="20"/>
          <w:lang w:eastAsia="fr-FR"/>
        </w:rPr>
        <w:t xml:space="preserve"> </w:t>
      </w:r>
      <w:r w:rsidRPr="00737488">
        <w:rPr>
          <w:sz w:val="20"/>
          <w:szCs w:val="20"/>
          <w:lang w:eastAsia="fr-FR"/>
        </w:rPr>
        <w:t>Lorsque l’un des parents est décédé ou se trouve privé de l’autorité parentale ou en cas d’exercice unilatéral de l’autorité parentale, le juge des tutelles doit intervenir. Ce texte simplifie les règles. Il autorise le Gouvernement à prendre une ordonnance pour limiter les cas dans lesquels l’autorisation du juge des tutelles est nécessaire. Seuls les actes qui pourraient affecter de manière grave, substantielle et définitive le patrimoine du mineur doivent faire l’objet d’une autorisation systématique de ce magistrat.</w:t>
      </w:r>
    </w:p>
    <w:p w:rsidR="00737488" w:rsidRPr="00737488" w:rsidRDefault="00737488" w:rsidP="00737488">
      <w:pPr>
        <w:pStyle w:val="Sansinterligne"/>
        <w:numPr>
          <w:ilvl w:val="0"/>
          <w:numId w:val="1"/>
        </w:numPr>
        <w:jc w:val="both"/>
        <w:rPr>
          <w:sz w:val="20"/>
          <w:szCs w:val="20"/>
          <w:lang w:eastAsia="fr-FR"/>
        </w:rPr>
      </w:pPr>
      <w:r w:rsidRPr="00737488">
        <w:rPr>
          <w:b/>
          <w:sz w:val="20"/>
          <w:szCs w:val="20"/>
          <w:lang w:eastAsia="fr-FR"/>
        </w:rPr>
        <w:t>L'aménagement de la protection juridique des majeurs</w:t>
      </w:r>
      <w:r>
        <w:rPr>
          <w:sz w:val="20"/>
          <w:szCs w:val="20"/>
          <w:lang w:eastAsia="fr-FR"/>
        </w:rPr>
        <w:t xml:space="preserve"> : </w:t>
      </w:r>
      <w:r w:rsidRPr="00737488">
        <w:rPr>
          <w:sz w:val="20"/>
          <w:szCs w:val="20"/>
          <w:lang w:eastAsia="fr-FR"/>
        </w:rPr>
        <w:t>Le texte offre désormais la possibilité au juge d’ouvrir une mesure de protection du majeur au-delà de 5 ans (tant que cela n’excède pas 10 ans). Il simplifie également les modalités d'arrêt du budget et le contrôle des comptes de gestion. Ces dispositions visent à mieux prendre en compte certaines pathologies, à alléger les formalités pesant sur les familles et à mieux les associer dans la gestion des mesures de tutelles de leurs proches.</w:t>
      </w:r>
    </w:p>
    <w:p w:rsidR="00737488" w:rsidRPr="00737488" w:rsidRDefault="00737488" w:rsidP="00737488">
      <w:pPr>
        <w:pStyle w:val="Sansinterligne"/>
        <w:numPr>
          <w:ilvl w:val="0"/>
          <w:numId w:val="1"/>
        </w:numPr>
        <w:jc w:val="both"/>
        <w:rPr>
          <w:sz w:val="20"/>
          <w:szCs w:val="20"/>
          <w:lang w:eastAsia="fr-FR"/>
        </w:rPr>
      </w:pPr>
      <w:r w:rsidRPr="00737488">
        <w:rPr>
          <w:b/>
          <w:sz w:val="20"/>
          <w:szCs w:val="20"/>
          <w:lang w:eastAsia="fr-FR"/>
        </w:rPr>
        <w:t>La simplification de la preuve de la qualité d’héritier</w:t>
      </w:r>
      <w:r w:rsidRPr="00737488">
        <w:rPr>
          <w:sz w:val="20"/>
          <w:szCs w:val="20"/>
          <w:lang w:eastAsia="fr-FR"/>
        </w:rPr>
        <w:t xml:space="preserve"> dans les petites successions</w:t>
      </w:r>
      <w:r>
        <w:rPr>
          <w:sz w:val="20"/>
          <w:szCs w:val="20"/>
          <w:lang w:eastAsia="fr-FR"/>
        </w:rPr>
        <w:t xml:space="preserve"> : </w:t>
      </w:r>
      <w:r w:rsidRPr="00737488">
        <w:rPr>
          <w:sz w:val="20"/>
          <w:szCs w:val="20"/>
          <w:lang w:eastAsia="fr-FR"/>
        </w:rPr>
        <w:t>Ce texte vise à éviter aux personnes appelées à hériter de successions modestes, de devoir disposer d'un acte notarié pour accomplir auprès des administrations et des établissements bancaires certaines démarches (clôture du compte, paiement des factures, transfert de courrier…). La mise en œuvre de cette mesure fera l'objet d'une concertation avec les notaires.</w:t>
      </w:r>
    </w:p>
    <w:p w:rsidR="00737488" w:rsidRPr="00737488" w:rsidRDefault="00737488" w:rsidP="00737488">
      <w:pPr>
        <w:pStyle w:val="Sansinterligne"/>
        <w:numPr>
          <w:ilvl w:val="0"/>
          <w:numId w:val="1"/>
        </w:numPr>
        <w:jc w:val="both"/>
        <w:rPr>
          <w:sz w:val="20"/>
          <w:szCs w:val="20"/>
          <w:lang w:eastAsia="fr-FR"/>
        </w:rPr>
      </w:pPr>
      <w:r w:rsidRPr="00737488">
        <w:rPr>
          <w:b/>
          <w:sz w:val="20"/>
          <w:szCs w:val="20"/>
          <w:lang w:eastAsia="fr-FR"/>
        </w:rPr>
        <w:t>La modification des modalités de révision</w:t>
      </w:r>
      <w:r w:rsidRPr="00737488">
        <w:rPr>
          <w:sz w:val="20"/>
          <w:szCs w:val="20"/>
          <w:lang w:eastAsia="fr-FR"/>
        </w:rPr>
        <w:t xml:space="preserve"> de la prestation compensatoire</w:t>
      </w:r>
      <w:r>
        <w:rPr>
          <w:sz w:val="20"/>
          <w:szCs w:val="20"/>
          <w:lang w:eastAsia="fr-FR"/>
        </w:rPr>
        <w:t xml:space="preserve"> : </w:t>
      </w:r>
      <w:r w:rsidRPr="00737488">
        <w:rPr>
          <w:sz w:val="20"/>
          <w:szCs w:val="20"/>
          <w:lang w:eastAsia="fr-FR"/>
        </w:rPr>
        <w:t>Une personne peut demander la révision du montant de la prestation compensatoire fixée sous forme de rente viagère lorsqu’elle estime qu’il y a un avantage manifestement excessif. Afin de caractériser cet avantage, le texte intègre des acquis de la jurisprudence selon laquelle les magistrats doivent tenir compte de la durée pendant laquelle la rente a été payée et du montant déjà versé.</w:t>
      </w:r>
    </w:p>
    <w:p w:rsidR="00737488" w:rsidRPr="00737488" w:rsidRDefault="00737488" w:rsidP="00737488">
      <w:pPr>
        <w:pStyle w:val="Sansinterligne"/>
        <w:numPr>
          <w:ilvl w:val="0"/>
          <w:numId w:val="1"/>
        </w:numPr>
        <w:jc w:val="both"/>
        <w:rPr>
          <w:sz w:val="20"/>
          <w:szCs w:val="20"/>
          <w:lang w:eastAsia="fr-FR"/>
        </w:rPr>
      </w:pPr>
      <w:r w:rsidRPr="00737488">
        <w:rPr>
          <w:b/>
          <w:sz w:val="20"/>
          <w:szCs w:val="20"/>
          <w:lang w:eastAsia="fr-FR"/>
        </w:rPr>
        <w:t>Le recours au testament</w:t>
      </w:r>
      <w:r w:rsidRPr="00737488">
        <w:rPr>
          <w:sz w:val="20"/>
          <w:szCs w:val="20"/>
          <w:lang w:eastAsia="fr-FR"/>
        </w:rPr>
        <w:t xml:space="preserve"> en la forme authentique pour les personnes sourdes et muettes</w:t>
      </w:r>
      <w:r>
        <w:rPr>
          <w:sz w:val="20"/>
          <w:szCs w:val="20"/>
          <w:lang w:eastAsia="fr-FR"/>
        </w:rPr>
        <w:t xml:space="preserve"> : </w:t>
      </w:r>
      <w:r w:rsidRPr="00737488">
        <w:rPr>
          <w:sz w:val="20"/>
          <w:szCs w:val="20"/>
          <w:lang w:eastAsia="fr-FR"/>
        </w:rPr>
        <w:t>Le testament sous forme authentique doit être dicté au notaire par le testateur, qui doit ensuite en entendre la lecture. Les personnes sourdes et muettes ne pouvaient donc pas en bénéficier. Le texte résout cette difficulté en prévoyant que les personnes sourdes et muettes peuvent désormais recourir à un interprète choisi sur la liste nationale des experts judiciaires. Ces personnes peuvent ainsi, elles aussi, disposer de leurs biens au moyen d'un testament authentique et bénéficier de la même sécurité juridique que les autres citoyens.</w:t>
      </w:r>
    </w:p>
    <w:p w:rsidR="00737488" w:rsidRPr="00737488" w:rsidRDefault="00737488" w:rsidP="00737488">
      <w:pPr>
        <w:pStyle w:val="Sansinterligne"/>
        <w:numPr>
          <w:ilvl w:val="0"/>
          <w:numId w:val="1"/>
        </w:numPr>
        <w:jc w:val="both"/>
        <w:rPr>
          <w:sz w:val="20"/>
          <w:szCs w:val="20"/>
          <w:lang w:eastAsia="fr-FR"/>
        </w:rPr>
      </w:pPr>
      <w:r w:rsidRPr="00737488">
        <w:rPr>
          <w:sz w:val="20"/>
          <w:szCs w:val="20"/>
          <w:lang w:eastAsia="fr-FR"/>
        </w:rPr>
        <w:t xml:space="preserve">La </w:t>
      </w:r>
      <w:r w:rsidRPr="00737488">
        <w:rPr>
          <w:b/>
          <w:bCs/>
          <w:sz w:val="20"/>
          <w:szCs w:val="20"/>
          <w:lang w:eastAsia="fr-FR"/>
        </w:rPr>
        <w:t>réforme du droit des contrats</w:t>
      </w:r>
    </w:p>
    <w:p w:rsidR="00737488" w:rsidRPr="00737488" w:rsidRDefault="00737488" w:rsidP="00737488">
      <w:pPr>
        <w:pStyle w:val="Sansinterligne"/>
        <w:numPr>
          <w:ilvl w:val="0"/>
          <w:numId w:val="1"/>
        </w:numPr>
        <w:jc w:val="both"/>
        <w:rPr>
          <w:sz w:val="20"/>
          <w:szCs w:val="20"/>
          <w:lang w:eastAsia="fr-FR"/>
        </w:rPr>
      </w:pPr>
      <w:r w:rsidRPr="00737488">
        <w:rPr>
          <w:sz w:val="20"/>
          <w:szCs w:val="20"/>
          <w:lang w:eastAsia="fr-FR"/>
        </w:rPr>
        <w:t>Le texte habilite le Gouvernement à procéder, par ordonnance, à une réforme du droit des contrats et des obligations. Il s'agit de consacrer dans le code civil des solutions dégagées depuis plusieurs années par la jurisprudence. Cela permettra également de répondre à l'objectif constitutionnel d'intelligibilité de la loi, de renforcer la prévisibilité du droit et la sécurité juridique, tout en contribuant au rayonnement et à l'attractivité du système juridique français.</w:t>
      </w:r>
    </w:p>
    <w:p w:rsidR="00737488" w:rsidRPr="00737488" w:rsidRDefault="00737488" w:rsidP="00737488">
      <w:pPr>
        <w:pStyle w:val="Sansinterligne"/>
        <w:jc w:val="both"/>
        <w:rPr>
          <w:sz w:val="20"/>
          <w:szCs w:val="20"/>
          <w:lang w:eastAsia="fr-FR"/>
        </w:rPr>
      </w:pPr>
    </w:p>
    <w:p w:rsidR="00737488" w:rsidRPr="00737488" w:rsidRDefault="00737488" w:rsidP="00643301">
      <w:pPr>
        <w:pStyle w:val="Sansinterligne"/>
        <w:numPr>
          <w:ilvl w:val="0"/>
          <w:numId w:val="1"/>
        </w:numPr>
        <w:jc w:val="both"/>
        <w:rPr>
          <w:sz w:val="20"/>
          <w:szCs w:val="20"/>
          <w:lang w:eastAsia="fr-FR"/>
        </w:rPr>
      </w:pPr>
      <w:r w:rsidRPr="00737488">
        <w:rPr>
          <w:sz w:val="20"/>
          <w:szCs w:val="20"/>
          <w:lang w:eastAsia="fr-FR"/>
        </w:rPr>
        <w:t xml:space="preserve">La suppression des </w:t>
      </w:r>
      <w:r w:rsidRPr="00737488">
        <w:rPr>
          <w:b/>
          <w:bCs/>
          <w:sz w:val="20"/>
          <w:szCs w:val="20"/>
          <w:lang w:eastAsia="fr-FR"/>
        </w:rPr>
        <w:t>actions possessoires</w:t>
      </w:r>
      <w:r>
        <w:rPr>
          <w:b/>
          <w:bCs/>
          <w:sz w:val="20"/>
          <w:szCs w:val="20"/>
          <w:lang w:eastAsia="fr-FR"/>
        </w:rPr>
        <w:t xml:space="preserve"> </w:t>
      </w:r>
      <w:r w:rsidRPr="00737488">
        <w:rPr>
          <w:sz w:val="20"/>
          <w:szCs w:val="20"/>
          <w:lang w:eastAsia="fr-FR"/>
        </w:rPr>
        <w:t>Les actions possessoires avaient essentiellement pour objet d'assurer en justice la protection de possesseurs de biens immobiliers, sans exiger d’eux qu’ils rapportent la preuve, souvent complexe de leur droit de propriété. Le texte supprime ces actions qui étaient très peu utilisées.</w:t>
      </w:r>
    </w:p>
    <w:p w:rsidR="003831D8" w:rsidRPr="00737488" w:rsidRDefault="003831D8" w:rsidP="00737488">
      <w:pPr>
        <w:pStyle w:val="Sansinterligne"/>
        <w:jc w:val="both"/>
        <w:rPr>
          <w:sz w:val="20"/>
          <w:szCs w:val="20"/>
          <w:lang w:eastAsia="fr-FR"/>
        </w:rPr>
      </w:pPr>
    </w:p>
    <w:sectPr w:rsidR="003831D8" w:rsidRPr="007374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80380"/>
    <w:multiLevelType w:val="hybridMultilevel"/>
    <w:tmpl w:val="E6DAC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488"/>
    <w:rsid w:val="001A2030"/>
    <w:rsid w:val="003831D8"/>
    <w:rsid w:val="004C38A7"/>
    <w:rsid w:val="00737488"/>
    <w:rsid w:val="0076036E"/>
    <w:rsid w:val="007B0220"/>
    <w:rsid w:val="00B37CB7"/>
    <w:rsid w:val="00EA36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F1C9A-516A-4D8C-97C3-8538CAB6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itre2">
    <w:name w:val="heading 2"/>
    <w:basedOn w:val="Normal"/>
    <w:link w:val="Titre2Car"/>
    <w:uiPriority w:val="9"/>
    <w:qFormat/>
    <w:rsid w:val="00737488"/>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737488"/>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37488"/>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737488"/>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73748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justify">
    <w:name w:val="justify"/>
    <w:basedOn w:val="Normal"/>
    <w:rsid w:val="0073748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37488"/>
    <w:rPr>
      <w:b/>
      <w:bCs/>
    </w:rPr>
  </w:style>
  <w:style w:type="paragraph" w:styleId="Sansinterligne">
    <w:name w:val="No Spacing"/>
    <w:uiPriority w:val="1"/>
    <w:qFormat/>
    <w:rsid w:val="007374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155249">
      <w:bodyDiv w:val="1"/>
      <w:marLeft w:val="0"/>
      <w:marRight w:val="0"/>
      <w:marTop w:val="0"/>
      <w:marBottom w:val="0"/>
      <w:divBdr>
        <w:top w:val="none" w:sz="0" w:space="0" w:color="auto"/>
        <w:left w:val="none" w:sz="0" w:space="0" w:color="auto"/>
        <w:bottom w:val="none" w:sz="0" w:space="0" w:color="auto"/>
        <w:right w:val="none" w:sz="0" w:space="0" w:color="auto"/>
      </w:divBdr>
    </w:div>
    <w:div w:id="110115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647</Words>
  <Characters>3562</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Pascal MERCIER</cp:lastModifiedBy>
  <cp:revision>2</cp:revision>
  <dcterms:created xsi:type="dcterms:W3CDTF">2017-06-19T14:05:00Z</dcterms:created>
  <dcterms:modified xsi:type="dcterms:W3CDTF">2017-06-19T14:05:00Z</dcterms:modified>
</cp:coreProperties>
</file>